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A0" w:rsidRPr="003168A0" w:rsidRDefault="003168A0" w:rsidP="003168A0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3168A0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Приложение № 3 </w:t>
      </w:r>
    </w:p>
    <w:p w:rsidR="003168A0" w:rsidRPr="003168A0" w:rsidRDefault="003168A0" w:rsidP="003168A0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3168A0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3168A0" w:rsidRPr="003168A0" w:rsidRDefault="003168A0" w:rsidP="003168A0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3168A0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3168A0" w:rsidRPr="003168A0" w:rsidRDefault="003168A0" w:rsidP="003168A0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3168A0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3168A0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3168A0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3168A0" w:rsidRPr="003168A0" w:rsidRDefault="003168A0" w:rsidP="003168A0">
      <w:pPr>
        <w:spacing w:after="200" w:line="360" w:lineRule="auto"/>
        <w:ind w:firstLine="709"/>
        <w:jc w:val="center"/>
        <w:rPr>
          <w:rFonts w:ascii="Calibri" w:eastAsia="Calibri" w:hAnsi="Calibri" w:cs="Times New Roman"/>
          <w:b/>
          <w:bCs/>
          <w:sz w:val="18"/>
          <w:lang w:eastAsia="ru-RU"/>
        </w:rPr>
      </w:pPr>
    </w:p>
    <w:p w:rsidR="003168A0" w:rsidRPr="003168A0" w:rsidRDefault="003168A0" w:rsidP="003168A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3168A0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Перечень закупающих подразделений при осуществлении централизованной закупки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26"/>
        <w:gridCol w:w="6473"/>
      </w:tblGrid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/>
                <w:bCs/>
                <w:lang w:eastAsia="ru-RU"/>
              </w:rPr>
              <w:t>Наименование закупающего подразделения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tabs>
                <w:tab w:val="left" w:pos="4789"/>
              </w:tabs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/>
                <w:bCs/>
                <w:lang w:eastAsia="ru-RU"/>
              </w:rPr>
              <w:t>Наименование товаров, работ, услуг для проведения централизованных закупок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1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Учебно-научная библиотека им. В. А. Журавлёва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издательская продукция – приобретение (изготовление) книг, брошюр, методических материалов, различных научных изданий, приобретение периодических изданий и т.п.;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библиотечные услуги;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переплетные услуги;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художественному оформлению печатных изданий;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изготовление оригинал-макетов печатных изданий;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программных продуктов баз данных, доступ к ним, их продление для нужд электронной библиотеки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2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Управление информационных технологий и телекоммуникаций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(корп. №6, </w:t>
            </w:r>
            <w:proofErr w:type="spell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каб</w:t>
            </w:r>
            <w:proofErr w:type="spell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. 214)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tabs>
                <w:tab w:val="left" w:pos="7104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- услуги телефонной, телеграфной, факсимильной, сотовой, пейджинговой связи, радиосвязи и других видов связи (абонентская и повременная оплата), в том </w:t>
            </w:r>
            <w:proofErr w:type="gram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числе  предоставление</w:t>
            </w:r>
            <w:proofErr w:type="gram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 доступа и использование линий связи; телефонных и телеграфных и иных каналов связи (передачи данных (информации);</w:t>
            </w:r>
          </w:p>
          <w:p w:rsidR="003168A0" w:rsidRPr="003168A0" w:rsidRDefault="003168A0" w:rsidP="003168A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пользование глобальной сетью Интернет, радиоточкой;</w:t>
            </w:r>
          </w:p>
          <w:p w:rsidR="003168A0" w:rsidRPr="003168A0" w:rsidRDefault="003168A0" w:rsidP="003168A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 - приобретение программного обеспечения, доступ к цифровым сервисам, сопровождение (техническая поддержка,  продление) программных продуктов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Управление международного сотрудничества и связей с общественностью (корп.№1, каб.240)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размещению рекламной информации;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(изготовление) сувенирной продукции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4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Департамент по молодежной и социальной политике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(корп.№1, каб.213а)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организации культурно-массовой и спортивно-оздоровительной работы (для студентов и сотрудников);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организации отдыха студентов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- услуги по оздоровлению детей сотрудников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санаторно-курортного лечению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медицинского страхования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новогодних подарков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5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Служба охраны труда (корп.№2, каб.017)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и работы по содержанию помещений в чистоте (сбор, вывоз и утилизация различных отходов (кроме ЖБО), дезинсекция и дератизация и т.п.);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проведению экологических и санитарно-эпидемиологических исследований, в том числе проведение различного анализа компонентов природной среды, различного анализа состава и чистоты веществ;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- приобретение (изготовление) спецодежды, </w:t>
            </w:r>
            <w:proofErr w:type="spell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спецобуви</w:t>
            </w:r>
            <w:proofErr w:type="spell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проведению медосмотров сотрудников;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6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Отдел </w:t>
            </w:r>
            <w:bookmarkStart w:id="0" w:name="OLE_LINK1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делопроизводства</w:t>
            </w:r>
          </w:p>
          <w:bookmarkEnd w:id="0"/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(корп.№1, каб.230)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val="en-US"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почты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Департамент эксплуатации имущественного </w:t>
            </w: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комплекса и строительства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(корп.№1, каб.213)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- приобретение строительных и лакокрасочных материалов;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техническому обслуживанию и ремонту газового оборудования и газораспределительных систем;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- подрядные работы капитальному и текущему ремонту зданий и сооружений, в том числе общестроительные и санитарно-</w:t>
            </w:r>
            <w:proofErr w:type="gram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технические  работы</w:t>
            </w:r>
            <w:proofErr w:type="gram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, электромонтажные работы;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(изготовление) вентиляционного и противопожарного оборудования, услуги по техническому обслуживанию и ремонту учебного оборудования, вентиляционного и противопожарного оборудования,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- услуги по передаче электроэнергии, </w:t>
            </w:r>
            <w:proofErr w:type="spell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теплоэнергии</w:t>
            </w:r>
            <w:proofErr w:type="spell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, водоснабжения и водоотведения, поставка и транспортировка газа,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- услуги установки (замены), поверки приборов учета потребления электроэнергии, </w:t>
            </w:r>
            <w:proofErr w:type="spell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теплоэнергии</w:t>
            </w:r>
            <w:proofErr w:type="spell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 и газа,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услуги, связанные с инженерно-техническим проектированием;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- оказание услуг по </w:t>
            </w:r>
            <w:proofErr w:type="gramStart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проведению  комплексной</w:t>
            </w:r>
            <w:proofErr w:type="gramEnd"/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  уборки внутренних служебных помещений и мойки окон;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- услуги по оценке и страхованию имущества; 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прочие услуги и работы, связанные с содержанием и обслуживанием зданий и сооружений, кроме услуги и работы по содержанию помещений в чистоте (сбор, вывоз и утилизация ТБО, дезинсекция и дератизация и т.п.)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7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Служба снабжения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(корп.№1, каб.247)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(изготовление), ремонт мебели и мягкого инвентаря;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канцелярских товаров, бумаги, товаров бытовой химии, прочего хозяйственного инвентаря, используемого для содержания помещений в чистоте;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оборудования и материалов для проведения ремонта помещений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8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Служба закупок сложной техники (корп.№1, каб.128а)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приобретение, техническое обслуживание и ремонт оргтехники;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и ремонт учебного оборудования и инвентаря;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- приобретение расходных материалов для проведения учебных занятий, комплектующих к оргтехнике и учебному оборудованию;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технической экспертизе оборудования и техники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9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tabs>
                <w:tab w:val="left" w:pos="954"/>
              </w:tabs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Транспортный отдел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комплектующих и запасных частей для автотранспортных средств;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техническому обслуживанию и ремонту автотранспортных средств;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горюче-смазочные материалы для автотранспортных средств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10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Управление информационного обеспечения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(корп.№1, каб.130)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программного обеспечения, приобретение и продление лицензий на программное обеспечение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11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Учебный Ботанический сад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многолетних насаждений;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посадочного материала, расходного материала по содержанию и выращиванию растений;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откачка и вывоз ЖБО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12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Комбинат студенческого питания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продуктов питания;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столовой посуды и кухонного инвентаря;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приобретение прочих оборудования и материалов для обеспечения хозяйственной деятельности КСП;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обслуживанию и ремонту оборудования, используемого в хозяйственной деятельности КСП</w:t>
            </w:r>
          </w:p>
        </w:tc>
      </w:tr>
      <w:tr w:rsidR="003168A0" w:rsidRPr="003168A0" w:rsidTr="008B074D">
        <w:tc>
          <w:tcPr>
            <w:tcW w:w="263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13</w:t>
            </w:r>
          </w:p>
        </w:tc>
        <w:tc>
          <w:tcPr>
            <w:tcW w:w="1259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Отдел безопасности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(корп. VI, ауд. 026)</w:t>
            </w:r>
          </w:p>
        </w:tc>
        <w:tc>
          <w:tcPr>
            <w:tcW w:w="3478" w:type="pct"/>
            <w:vAlign w:val="center"/>
          </w:tcPr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>- услуги по обеспечению охраны и безопасности;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lastRenderedPageBreak/>
              <w:t>- установка, ремонт и обслуживание инженерно-технических средств охраны (систем видеонаблюдения, СКУД, охранной сигнализации</w:t>
            </w:r>
          </w:p>
          <w:p w:rsidR="003168A0" w:rsidRPr="003168A0" w:rsidRDefault="003168A0" w:rsidP="003168A0">
            <w:pPr>
              <w:spacing w:after="200" w:line="360" w:lineRule="auto"/>
              <w:jc w:val="both"/>
              <w:rPr>
                <w:rFonts w:ascii="Calibri" w:eastAsia="Calibri" w:hAnsi="Calibri" w:cs="Times New Roman"/>
                <w:bCs/>
                <w:lang w:eastAsia="ru-RU"/>
              </w:rPr>
            </w:pPr>
            <w:r w:rsidRPr="003168A0">
              <w:rPr>
                <w:rFonts w:ascii="Calibri" w:eastAsia="Calibri" w:hAnsi="Calibri" w:cs="Times New Roman"/>
                <w:bCs/>
                <w:lang w:eastAsia="ru-RU"/>
              </w:rPr>
              <w:t xml:space="preserve"> и др.),</w:t>
            </w:r>
          </w:p>
        </w:tc>
      </w:tr>
    </w:tbl>
    <w:p w:rsidR="001C1D2C" w:rsidRPr="003168A0" w:rsidRDefault="001C1D2C" w:rsidP="003168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C1D2C" w:rsidRPr="0031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24"/>
    <w:rsid w:val="001C1D2C"/>
    <w:rsid w:val="003168A0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B262A-CE0A-4EB5-B61F-089338C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2022-01-26T07:02:00Z</dcterms:created>
  <dcterms:modified xsi:type="dcterms:W3CDTF">2022-01-26T07:03:00Z</dcterms:modified>
</cp:coreProperties>
</file>